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/>
          <w:b/>
          <w:color w:val="000000"/>
          <w:sz w:val="28"/>
          <w:szCs w:val="28"/>
        </w:rPr>
        <w:t xml:space="preserve">Доклад 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состоянии и развитии конкурентной среды на рынках товаров, работ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 услуг Анжеро-Судженского городского округа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2023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 августа 2019 года между Правительством Кузбасса и администрацией Анжеро-Судженского городского округа заключено Соглашение о внедрении стандарта развития конкуренции в субъектах Российской Федерации в Кемеровской области - Кузбассе.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основным задачам по развитию конкуренции в Анжеро-Судженском городском округе относятся: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создание благоприятных организационно-правовых и экономических условий для устойчивого развития конкуренции;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содействие развитию конкуренции в рамках внедрения стандарта развития конкуренции в субъектах Российской Федерации в Кемеровской области – Кузбассе;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снижение или устранение правовых, административных, финансовых барьеров для хозяйствующих субъектов;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повышение уровня информационной открытости деятельности администрации Анжеро-Судженского городского округа.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Важным критерием развития конкуренции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Анжеро-Судженского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является наличие достаточного количества хозяйствующих субъектов, в том числе субъектов малого бизнеса. 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этом развитие малого и среднего предпринимательства является одним из определяющих факторов обеспечения эффективного и устойчивого развития экономики. Число субъектов малого и среднего предпринимательства по состоянию на </w:t>
      </w:r>
      <w:r>
        <w:rPr>
          <w:rFonts w:ascii="Times New Roman" w:hAnsi="Times New Roman"/>
          <w:b/>
          <w:color w:val="000000"/>
          <w:sz w:val="28"/>
          <w:szCs w:val="28"/>
        </w:rPr>
        <w:t>01.01.2024 г</w:t>
      </w:r>
      <w:r>
        <w:rPr>
          <w:rFonts w:ascii="Times New Roman" w:hAnsi="Times New Roman"/>
          <w:color w:val="000000"/>
          <w:sz w:val="28"/>
          <w:szCs w:val="28"/>
        </w:rPr>
        <w:t>. составляе</w:t>
      </w:r>
      <w:r>
        <w:rPr>
          <w:rFonts w:ascii="Times New Roman" w:hAnsi="Times New Roman"/>
          <w:sz w:val="28"/>
          <w:szCs w:val="28"/>
        </w:rPr>
        <w:t xml:space="preserve">т 1175 </w:t>
      </w:r>
      <w:r>
        <w:rPr>
          <w:rFonts w:ascii="Times New Roman" w:hAnsi="Times New Roman"/>
          <w:color w:val="000000"/>
          <w:sz w:val="28"/>
          <w:szCs w:val="28"/>
        </w:rPr>
        <w:t>единиц.</w:t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отчетный период осуществлен мониторинг состояния и развития конкурентной среды на товарных рынках Анжеро-Судженского городского округа.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para12"/>
        <w:numPr>
          <w:ilvl w:val="0"/>
          <w:numId w:val="2"/>
        </w:numPr>
        <w:ind w:left="720" w:hanging="360"/>
        <w:spacing w:before="0" w:after="0"/>
      </w:pPr>
      <w:r>
        <w:t xml:space="preserve">Результаты мониторинга состояния и развития конкурентной среды на товарных рынках Анжеро-Судженского городского округа. </w:t>
      </w:r>
    </w:p>
    <w:p>
      <w:pPr>
        <w:pStyle w:val="para12"/>
        <w:spacing w:before="0" w:after="0"/>
      </w:pPr>
      <w:r>
        <w:t>1.1 Рынок услуг дошкольного образования</w:t>
      </w:r>
    </w:p>
    <w:p>
      <w:pPr>
        <w:pStyle w:val="para4"/>
        <w:ind w:firstLine="709"/>
        <w:spacing w:before="0" w:after="0" w:beforeAutospacing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para4"/>
        <w:ind w:firstLine="709"/>
        <w:spacing w:before="0" w:after="0" w:beforeAutospacing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Конкурентная среда рынка услуг дошкольного образования характеризуется значительным доминированием муниципальных образовательных учреждений.</w:t>
      </w:r>
    </w:p>
    <w:p>
      <w:pPr>
        <w:pStyle w:val="para4"/>
        <w:ind w:firstLine="709"/>
        <w:spacing w:before="0" w:after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31.12.2023 года в Анжеро-Судженском городском округе функционировало 28 муниципальных дошкольных образовательных организации и группа для детей дошкольного возраста в МКОУ «Школа-интернат № 18». По состоянию на 31.12.2023 года численность воспитанников составляет 2638 человек, в том числе в возрасте 1 - 6 лет 2589 воспитанников.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В дошкольных учреждениях укомплектовано 140 групп, в том числе 29 групп для детей раннего возраста. 16 групп имеют компенсирующую направленность: для детей с нарушением слуха – 1 группа, для детей с нарушением речи – 7 групп, для детей с нарушением зрения – 4 группы, для детей с нарушением опорно-двигательного аппарата – 4 группы и 124 группы общеразвивающей направленности.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Кроме того, на базе МБДОУ «ДС №27» функционирует группа кратковременного пребывания воспитанников, которую посещают 7 человек.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рентабельность частных образовательных организаций при высоком уровне первоначальных вложений в развитие бизнеса;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сложности, связанные с подбором помещений (арендой или выкупом), а также с соблюдением нормативных требований к этим помещениям;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доходов населения, как следствие, недостаточная востребованность данного рода учреждений.</w:t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  <w:rPr>
          <w:rFonts w:cs="Times New Roman"/>
        </w:rPr>
      </w:pPr>
      <w:r>
        <w:t>1.2 Рынок услуг дополнительного образования детей</w:t>
      </w:r>
      <w:r>
        <w:rPr>
          <w:rFonts w:cs="Times New Roman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В 2023 году на территории Анжеро-Судженского городского округа функционировало 8 учреждений дополнительного образования, подведомственных управлению образования и управлению культуры, по следующим направлениям: естественно - научное, социально-педагогическое, техническое, художественное, туристко-краеведческое, физкультурно-спортивное.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В целях создания условий для развития конкуренции на рынке услуг дополнительного образования в 2023 г. проведена следующая работа: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МБОУ «Средняя общеобразовательная школа №12» создано 60 дополнительных мест.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2) в информационном разделе на сайтах МАДОУ «ДС №10» и управления образования размещена актуальная нормативно- правовая информация по дополнительным общеобразовательным программам. На сегодняшний день в навигатор программ дополнительного образования входят платных программ - 51, сертифицированных программ – 71, бюджетных программ - 260;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3) проведены консультации по разработке дополнительных общеобразовательных программ и их сертификации.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По состоянию на 31.12.2023 года в Анжеро-Судженске осуществляет деятельность одна организация ИП Кудин Ю. С. (Центр развития «Дети+») лицензия получена на осуществление образовательной деятельности по дополнительным общеобразовательным программам №17379 от 07.11.2019г.</w:t>
      </w:r>
    </w:p>
    <w:p>
      <w:pPr>
        <w:pStyle w:val="para4"/>
        <w:ind w:firstLine="709"/>
        <w:spacing w:before="0" w:after="0" w:beforeAutospacing="0" w:afterAutospacing="0"/>
        <w:jc w:val="both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en-us"/>
        </w:rPr>
        <w:t>Основными задачами учреждения являются: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жизни и укрепление здоровья детей;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интеллектуального, личностного и физического развития ребенка;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необходимой коррекции отклонений в развитии ребенка;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общечеловеческим ценностям;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семьей для обеспечения полноценного развития ребенка.</w:t>
      </w:r>
    </w:p>
    <w:p>
      <w:pPr>
        <w:pStyle w:val="para2"/>
        <w:ind w:left="0"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pStyle w:val="para2"/>
        <w:ind w:left="0"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высокие требования к условиям реализации программ (СанПиН, помещения, кадры); </w:t>
      </w:r>
    </w:p>
    <w:p>
      <w:pPr>
        <w:pStyle w:val="para2"/>
        <w:ind w:left="0"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стоимость аренды помещений.</w:t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>1.3 Рынок услуг детского отдыха и оздоровления</w:t>
      </w:r>
    </w:p>
    <w:p>
      <w:pPr>
        <w:pStyle w:val="para4"/>
        <w:ind w:firstLine="709"/>
        <w:spacing w:before="0" w:after="0" w:beforeAutospacing="0" w:afterAutospacing="0"/>
        <w:jc w:val="both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en-us"/>
        </w:rPr>
      </w:r>
    </w:p>
    <w:p>
      <w:pPr>
        <w:pStyle w:val="para4"/>
        <w:ind w:firstLine="709"/>
        <w:spacing w:before="0" w:after="0" w:beforeAutospacing="0" w:afterAutospacing="0"/>
        <w:jc w:val="both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en-us"/>
        </w:rPr>
        <w:t>В ходе проведения детской летней оздоровительной кампании в 2023 году на территории Анжеро-Судженского городского округа функционировало 29 организаций отдыха детей и их оздоровление: 3 загородных лагеря («Белая роща», «Огонек», Санаторий «Анжерский»); 16 лагерей с дневным пребыванием детей; 7 лагерей труда и отдыха для подростков; 3 лагеря палаточного типа.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частные организации, обеспечивающие отдых и оздоровление детей, подвержены регулярным проверкам со стороны надзорных органов, что делает непривлекательным данный рынок услуг;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квалификации психолого - педагогических, физкультурно-спортивных, медицинских и других специалистов, владеющих технологиями оздоровления и психолого - педагогической поддержки детей во время пребывания на отдыхе, в связи с отсутствием профессиональных стандартов специалистов в сфере отдыха и оздоровления;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себестоимость услуг в условиях снижения платежеспособности населения приводит к вынужденному снижению стоимости услуг, что делает рынок услуг детского отдыха и оздоровления менее рентабельным.</w:t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>1.4 Рынок медицинских услуг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Анжеро - Судженском городском округе наблюдается увеличение числа негосударственных (немуниципальных) медицинских организаций. На территории городского округа осуществляют деятельность 9 стоматологических кабинетов, 4 частных медицинских клиники. Работает консультативный кабинет «Ваш доктор», «Инвитро» (прием анализов), «Импульс» (диагностика), ООО «Сибирское здоровье» (диагностика), Медицинский центр «</w:t>
      </w:r>
      <w:r>
        <w:rPr>
          <w:rFonts w:ascii="Times New Roman" w:hAnsi="Times New Roman"/>
          <w:sz w:val="28"/>
          <w:szCs w:val="28"/>
          <w:lang w:val="en-us"/>
        </w:rPr>
        <w:t>VITA</w:t>
      </w:r>
      <w:r>
        <w:rPr>
          <w:rFonts w:ascii="Times New Roman" w:hAnsi="Times New Roman"/>
          <w:sz w:val="28"/>
          <w:szCs w:val="28"/>
        </w:rPr>
        <w:t>» (анализы, диагностика), МРТ Альянс Анжеро-Судженск (диагностика)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высокая стоимость современного лечебного, диагностического, стерилизационного оборудования;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отсутствие свободных помещений (высокая арендная плата);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отсутствие квалифицированных кадров.</w:t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>1.5. Рынок услуг розничной торговли лекарственными препаратами, медицинскими изделиями и сопутствующими товарами</w:t>
      </w:r>
    </w:p>
    <w:p>
      <w:pPr>
        <w:ind w:firstLine="70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2024 г. в Анжеро-Судженском городском округе действуют 16 аптечных сетей (51 объектов), осуществляющих розничную торговлю лекарственными препаратами, медицинскими изделиями и сопутствующими товарами, в том числе ГАУЗ КО АСГБ-8 объектов.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характеризуется высоким уровнем развития конкуренции.</w:t>
      </w:r>
    </w:p>
    <w:p>
      <w:pPr>
        <w:ind w:firstLine="70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составляет -85%.</w:t>
      </w:r>
    </w:p>
    <w:p>
      <w:pPr>
        <w:ind w:firstLine="709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представителей бизнес-сообщества уровень конкуренции на данном рынке является высоким: 67% респондентов отметили высокий уровень. При этом 56% потребителей товаров, работ и услуг отмечают удовлетворенность возможностью выбора организаций на рынке.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деятельности на рынке услуг розничной торговли лекарственными препаратами, медицинскими изделиями и сопутствующими товарами административные барьеры отсутствуют. Руководителям аптечных сетей направляется информация об обращениях граждан в открытии аптеки (в отдаленных районах города) и оказании помощи в поиске помещения.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специфических требований к помещениям для размещения аптечных пунктов.</w:t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>1.6 Рынок услуг психолого-педагогического сопровождения детей с ограниченными возможностями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на территории городского округа действовали 2 муниципальных казенных учреждения: «Реабилитационный центр для детей и подростков с ограниченными возможностями» и «Социально-реабилитационный центр для несовершеннолетних», а также Благотворительный фонд помощи детям «Загадай желание», оказывающие услуги психолого-педагогического сопровождения детей с ограниченными возможностями здоровья.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основными проблемами являются очень высокая стоимость реабилитационных мероприятий, оборудования, обучения специалистов;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высокие требования в отношении соблюдения санитарных норм, пожарной безопасности, обеспечения без барьерного доступа, предъявляемые к организациям, осуществляющим социальное обслуживание детей (вне зависимости от форм собственности).</w:t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>1.7 Рынок социальных услуг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на территории городского округа действовало 9 организаций, которые оказывали социальные услуги: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социальной защиты населения администрации Анжеро-Судженского городского округа;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муниципальных учреждения: МКУ «Реабилитационный центр для детей и подростков с ограниченными возможностями», МКУ «Социально-реабилитационный центр для несовершеннолетних» и МБУ «Комплексный центр социального обслуживания населения»;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- 2 государственных бюджетных стационарных учреждения социального обслуживания Кемеровской области: «Анжеро-Судженский дом-интернат для престарелых и инвалидов» и «Анжеро-Судженский психоневрологический дом-интернат»;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негосударственные организации: Благотворительный фонд помощи детям «Загадай желание» (с ноября 2016 г.); Автономная некоммерческая организация «Центр поддержки несовершеннолетних», оказавшихся в трудной жизненной ситуации «Планета детства» (с сентября 2019 г.);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Автономная некоммерческая организация социальной поддержки граждан, находящихся в трудной жизненной ситуации «Вектор добра».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низкая доходность и специфика рынка. Потребителями рынка услуг социального обслуживания населения в большинстве своем являются неплатежеспособные или низко платёжеспособные граждане;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в регионе, муниципальных образованиях Кемеровской области мер имущественной поддержки (льготная аренда помещений, предоставление помещений в безвозмездное пользование, содействие в обеспечении требований пожарной безопасности, доступной среды, компенсация коммунальных платежей и т.д.)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  <w:rPr>
          <w:rFonts w:cs="Times New Roman"/>
        </w:rPr>
      </w:pPr>
      <w:r>
        <w:t>1.8. Рынок Теплоснабжения (производство тепловой энергии)</w:t>
      </w:r>
      <w:r>
        <w:rPr>
          <w:rFonts w:cs="Times New Roman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городского округа тепловую энергию потребителям реализуют 3 регулируемые организации, вид деятельности которых включает производство и передачу пара и горячей воды (тепловой энергии) котельными. Данные ресурсоснабжающие организации имеют частную форму собственности - </w:t>
      </w:r>
      <w:r>
        <w:rPr>
          <w:rFonts w:ascii="Times New Roman" w:hAnsi="Times New Roman"/>
          <w:sz w:val="28"/>
          <w:szCs w:val="28"/>
        </w:rPr>
        <w:t>ООО "Теплоресурс", АО «Каскад-Энерго», ООО «Мир тепла».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01.01.2024 заключено 20 концессионных соглашений. За 2023 год оформлено в отношении 47 объектов теплоснабжения оформлено право муниципальной собственности, 23 объектов теплоснабжения поставлено на учет как бесхозяйные.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center" w:pos="23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Передано указанных объектов в управление организациям частной формы собственности на основе концессионного соглашения – 0.</w:t>
      </w:r>
    </w:p>
    <w:p>
      <w:pPr>
        <w:ind w:firstLine="709"/>
        <w:spacing w:after="0" w:line="240" w:lineRule="auto"/>
        <w:jc w:val="both"/>
        <w:tabs defTabSz="708">
          <w:tab w:val="center" w:pos="23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значительные первоначальные капитальные вложения в развитие бизнеса;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высокий уровень износа основных фондов.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жесткое регулирование тарифа со стороны уполномоченного органа.</w:t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>1.9 Рынок выполнения работ по благоустройству городской среды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01.01.2024 года на территории муниципального образования «Анжеро-Судженский городской округ» 30 организаций оказывают услуги по благоустройству городской среды, из них 28 частной формы собственности, 2 муниципальных предприятия. 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площадь благоустраиваемой территории городского округа составляет 5380 тыс.кв.м. Озеленяемая территория городского округа составляет 168 га.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на территории муниципального образования «Анжеро-Судженский городской округ» отсутствуют муниципальные унитарные предприятия, оказывающие услуги по благоустройству городской среды.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низкий уровень конкуренции на данном рынке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>1.10 Рынок выполнения работ по содержанию и текущему ремонту общего имущества собственников помещений в многоквартирном доме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01.01.2024 г. согласно информационной системе ГИС ЖКХ числится 558 многоквартирных жилых дома и 1519 домов блокированной застройки. В настоящее время 14 организаций, осуществляют управление жилищным фондом городского округа.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предоставляемых услуг на данном рынке;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платежеспособность населения;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большой процент износа многоквартирных домов требует проведения дорогостоящего капитального ремонта.</w:t>
      </w:r>
      <w:r>
        <w:rPr>
          <w:rFonts w:ascii="Times New Roman" w:hAnsi="Times New Roman"/>
          <w:sz w:val="28"/>
          <w:szCs w:val="28"/>
        </w:rPr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>1.11 Рынок поставок сжиженного газа в баллонах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Кемеровской области осуществляют деятельность 13 организаций частной формы собственности, занимающиеся отпуском сжиженного газа в баллонах населению.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Рынок поставок сжиженного газа в баллонах на территории Анжеро-Судженского городского округа представлен ООО «Анжерский горгаз».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недостаточное количество организаций на данном рынке.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>1.12 Рынок оказания услуг по перевозке пассажиров автомобильным транспортом по муниципальным маршрутам регулярных перевозок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Пассажирские автотранспортные предприятия, оказывающие услуги по перевозке пассажиров автомобильным транспортом по муниципальным маршрутам регулярных перевозок Анжеро-Судженского городского округа включают: 1 государственное предприятие (филиал ГПК ПАТ г.Анжеро-Судженск) и 1 организация частной формы собственности ИП Липунов М.В.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проблемы: 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значительные капитальные вложения на приобретение подвижного состава;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значительный срок окупаемости капитальных вложений;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эффективной поддержки отрасли;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ограничения в виде законодательных актов, определяющих экономическую и налоговую политику;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низкая доходность деятельности вследствие государственного регулирования тарифов, обеспечивающих транспортную доступность для всех слоев населения;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неразвитость инфраструктуры - плохие дороги.</w:t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 xml:space="preserve">1.13. Рынок оказания услуг по перевозке пассажиров и багажа легковым такси на территории городского округа 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организации, осуществляющие деятельность по оказанию услуг по перевозке пассажиров и багажа легковым такси на территории городского округа находятся в собственности частных организаций.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проблемы: 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значительная доля нелегальных перевозчиков;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низкое качество оказываемых услуг по перевозке пассажиров и багажа легковым такси.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</w:pPr>
      <w:r>
        <w:t>1.14 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организации, осуществляющие деятельность по оказанию слуг связи, в том числе услуг по предоставлению широкополосного доступа к информационно-телекоммуникационной сети «Интернет» на территории городского округа находятся в собственности частных организаций.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низкая конкуренция на рынке услуг широкополосного доступа к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2"/>
        <w:spacing w:before="0" w:after="0"/>
      </w:pPr>
      <w:r/>
    </w:p>
    <w:p>
      <w:pPr>
        <w:pStyle w:val="para12"/>
        <w:spacing w:before="0" w:after="0"/>
        <w:rPr>
          <w:color w:val="ff0000"/>
        </w:rPr>
      </w:pPr>
      <w:r>
        <w:t>1.15. Рынок добычи общераспространенных полезных ископаемых на участках недр местного значения</w:t>
      </w:r>
      <w:r>
        <w:rPr>
          <w:color w:val="ff0000"/>
        </w:rPr>
      </w:r>
    </w:p>
    <w:p>
      <w:pPr>
        <w:ind w:firstLine="709"/>
        <w:spacing w:after="0" w:line="240" w:lineRule="auto"/>
        <w:jc w:val="both"/>
        <w:tabs defTabSz="708">
          <w:tab w:val="center" w:pos="23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center" w:pos="23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01.01.2024 года на территории Анжеро-Судженского городского округа действует 4 лицензии на пользование недрами с целью геологическое изучения, включающего поиски и оценку месторождений полезных ископаемых, разведку и добычу полезных ископаемых, в том числе использование отходов горнодобывающего предприятия и связанных с ним перерабатывающих производств. Владельцами лицензий являются организации частной формы собственности АО «Кузнецкие ферросплавы», </w:t>
      </w:r>
      <w:r>
        <w:rPr>
          <w:rStyle w:val="char10"/>
          <w:rFonts w:ascii="Times New Roman" w:hAnsi="Times New Roman" w:cs="Times New Roman"/>
          <w:sz w:val="28"/>
          <w:szCs w:val="28"/>
        </w:rPr>
        <w:t>ООО "</w:t>
      </w:r>
      <w:r>
        <w:rPr>
          <w:rStyle w:val="char10"/>
          <w:rFonts w:ascii="Times New Roman" w:hAnsi="Times New Roman" w:cs="Times New Roman"/>
          <w:bCs/>
          <w:sz w:val="28"/>
          <w:szCs w:val="28"/>
        </w:rPr>
        <w:t>СИБАНТРАЦИТ</w:t>
      </w:r>
      <w:r>
        <w:rPr>
          <w:rStyle w:val="char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har10"/>
          <w:rFonts w:ascii="Times New Roman" w:hAnsi="Times New Roman" w:cs="Times New Roman"/>
          <w:bCs/>
          <w:sz w:val="28"/>
          <w:szCs w:val="28"/>
        </w:rPr>
        <w:t>КУЗБАСС</w:t>
      </w:r>
      <w:r>
        <w:rPr>
          <w:rStyle w:val="char10"/>
          <w:rFonts w:ascii="Times New Roman" w:hAnsi="Times New Roman" w:cs="Times New Roman"/>
          <w:sz w:val="28"/>
          <w:szCs w:val="28"/>
        </w:rPr>
        <w:t xml:space="preserve">" и </w:t>
      </w:r>
      <w:r>
        <w:rPr>
          <w:rStyle w:val="char10"/>
          <w:rFonts w:ascii="Times New Roman" w:hAnsi="Times New Roman" w:cs="Times New Roman"/>
          <w:bCs/>
          <w:sz w:val="28"/>
          <w:szCs w:val="28"/>
        </w:rPr>
        <w:t>ООО</w:t>
      </w:r>
      <w:r>
        <w:rPr>
          <w:rStyle w:val="char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har10"/>
          <w:rFonts w:ascii="Times New Roman" w:hAnsi="Times New Roman" w:cs="Times New Roman"/>
          <w:bCs/>
          <w:sz w:val="28"/>
          <w:szCs w:val="28"/>
        </w:rPr>
        <w:t>СП</w:t>
      </w:r>
      <w:r>
        <w:rPr>
          <w:rStyle w:val="char10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char10"/>
          <w:rFonts w:ascii="Times New Roman" w:hAnsi="Times New Roman" w:cs="Times New Roman"/>
          <w:bCs/>
          <w:sz w:val="28"/>
          <w:szCs w:val="28"/>
        </w:rPr>
        <w:t>Барзасское</w:t>
      </w:r>
      <w:r>
        <w:rPr>
          <w:rStyle w:val="char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har10"/>
          <w:rFonts w:ascii="Times New Roman" w:hAnsi="Times New Roman" w:cs="Times New Roman"/>
          <w:bCs/>
          <w:sz w:val="28"/>
          <w:szCs w:val="28"/>
        </w:rPr>
        <w:t>товарищество</w:t>
      </w:r>
      <w:r>
        <w:rPr>
          <w:rStyle w:val="char10"/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center" w:pos="23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tabs defTabSz="708">
          <w:tab w:val="center" w:pos="231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tabs defTabSz="708">
          <w:tab w:val="center" w:pos="231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низкий уровень использования существующего сырья местными производителями.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para12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para12"/>
        <w:spacing w:before="0" w:after="0"/>
        <w:rPr>
          <w:color w:val="000000"/>
        </w:rPr>
      </w:pPr>
      <w:r>
        <w:rPr>
          <w:color w:val="000000"/>
        </w:rPr>
        <w:t>1.16. Рынок нефтепродуктов</w:t>
      </w:r>
    </w:p>
    <w:p>
      <w:pPr>
        <w:pStyle w:val="para4"/>
        <w:ind w:firstLine="709"/>
        <w:spacing w:before="0" w:after="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para4"/>
        <w:ind w:firstLine="709"/>
        <w:spacing w:before="0" w:after="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Анжеро-Судженского городского округа осуществлет деятельность по переработке нефти </w:t>
      </w:r>
      <w:r>
        <w:rPr>
          <w:bCs/>
          <w:color w:val="000000"/>
          <w:sz w:val="28"/>
          <w:szCs w:val="28"/>
        </w:rPr>
        <w:t xml:space="preserve">Яйский нефтеперерабатывающий завод </w:t>
      </w:r>
      <w:r>
        <w:rPr>
          <w:color w:val="000000"/>
          <w:sz w:val="28"/>
          <w:szCs w:val="28"/>
        </w:rPr>
        <w:t>топливного профиля, который введен в эксплуатацию в 2013 году.</w:t>
      </w:r>
      <w:r>
        <w:rPr>
          <w:rFonts w:eastAsia="Calibri" w:cs="Calibri"/>
          <w:color w:val="000000"/>
          <w:sz w:val="28"/>
          <w:szCs w:val="28"/>
          <w:lang w:eastAsia="en-us"/>
        </w:rPr>
        <w:t xml:space="preserve"> Нефтеперерабатывающий комплекс </w:t>
      </w:r>
      <w:r>
        <w:rPr>
          <w:color w:val="000000"/>
          <w:sz w:val="28"/>
          <w:szCs w:val="28"/>
        </w:rPr>
        <w:t>ЯЯНПЗ АО «Нефтехимсервис» объединяет в себе Северный Кузбасс-АНГК и ООО «Анжерская нефтегазовая компания».  Завод расположен в границах Анжеро-Судженского городского округа в непосредственной близости от магистрального нефтепровода и Транссибирской железнодорожной магистрали. Продукция реализуется как на территории Российской Федерации (Сибирский федеральный округ, Дальневосточный федеральный округ), так и в странах СНГ, Прибалтике, Нидерландах, Германии, Китае, Корее и Японии и др;).</w:t>
      </w:r>
    </w:p>
    <w:p>
      <w:pPr>
        <w:pStyle w:val="para4"/>
        <w:ind w:firstLine="709"/>
        <w:spacing w:before="0" w:after="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текущий момент предприятие приступило к реализации проекта по строительству третьей очереди, в рамках которого, к концу 2028 года будут построены два комплекса: </w:t>
      </w:r>
    </w:p>
    <w:p>
      <w:pPr>
        <w:pStyle w:val="para4"/>
        <w:ind w:firstLine="567"/>
        <w:spacing w:before="0" w:after="0" w:beforeAutospacing="0" w:afterAutospacing="0" w:line="360" w:lineRule="auto"/>
        <w:contextualSpacing/>
        <w:jc w:val="both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комплекс депарафинизации мощностью 2,6 млн тонн в год;</w:t>
      </w:r>
    </w:p>
    <w:p>
      <w:pPr>
        <w:pStyle w:val="para4"/>
        <w:ind w:firstLine="567"/>
        <w:spacing w:before="0" w:after="0" w:beforeAutospacing="0" w:afterAutospacing="0" w:line="360" w:lineRule="auto"/>
        <w:contextualSpacing/>
        <w:jc w:val="both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замедленного коксования производительностью 1,3 млн тонн в год.</w:t>
      </w:r>
    </w:p>
    <w:p>
      <w:pPr>
        <w:pStyle w:val="para4"/>
        <w:ind w:firstLine="567"/>
        <w:spacing w:before="0" w:after="0" w:beforeAutospacing="0" w:afterAutospacing="0" w:line="360" w:lineRule="auto"/>
        <w:contextualSpacing/>
        <w:jc w:val="both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eastAsia="Calibri" w:cs="Calibri"/>
          <w:color w:val="000000"/>
          <w:sz w:val="28"/>
          <w:szCs w:val="28"/>
          <w:lang w:eastAsia="en-us"/>
        </w:rPr>
      </w:pPr>
      <w:r>
        <w:rPr>
          <w:rFonts w:eastAsia="Calibri" w:cs="Calibri"/>
          <w:color w:val="000000"/>
          <w:sz w:val="28"/>
          <w:szCs w:val="28"/>
          <w:lang w:eastAsia="en-us"/>
        </w:rPr>
        <w:t>Обоснование проблемы: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высокая себестоимость продукции;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государственное регулирование ценовой политики;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-высокая конкуренция с нефтеперерабатывающими предприятиями близлежащих регионов.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</w:p>
    <w:p>
      <w:pPr>
        <w:pStyle w:val="para12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para12"/>
        <w:spacing w:before="0" w:after="0"/>
        <w:rPr>
          <w:color w:val="000000"/>
        </w:rPr>
      </w:pPr>
      <w:r>
        <w:rPr>
          <w:color w:val="000000"/>
        </w:rPr>
        <w:t>1.17. Рынок легкой промышленности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сфере текстильной и легкой промышленности на территории Анжеро-Судженского городского округа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осуществляет свою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одна организация ООО «Фламинго».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высокая конкуренция на внутреннем рынке между российскими и зарубежными товаропроизводителями;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высокий удельный вес дешевых товаров китайского производства;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отсутствие равных конкурентных возможностей с иностранными производителями;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недостаточный уровень инвестиций, необходимых для модернизации отрасли и внедрения современных технологий;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нехватка собственных оборотных средств;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сложность в получении льготных кредитов предприятиями легкой промышленности;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низкая заработная плата.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para12"/>
        <w:spacing w:before="0" w:after="0"/>
        <w:rPr>
          <w:color w:val="000000"/>
        </w:rPr>
      </w:pPr>
      <w:r>
        <w:rPr>
          <w:color w:val="000000"/>
        </w:rPr>
        <w:t>1.18 Рынок обработки древесины и производство изделий из дерева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Анжеро-Судженского городского округа зарегистрированы 4 предприятия в области деревообработки. (ИП Бураков Э.В., ООО «Аверс-Лес-Инвест», ООО «ЛПК», ООО «Леспромакс»).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Обоснование проблемы: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развитость мощностей по глубокой переработке древесного сырья, создание которых может вовлечь в оборот невостребованную в настоящее время низкокачественную древесину;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низкий уровень использования отходов лесопиления; недостаток инвестиций в лесопромышленный и деревообрабатывающий комплекс, связанный с низкой инвестиционной привлекательностью многих предприятий.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1.19 Рынок повышения финансовой грамотности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финансовой грамотности и снижения уровня закредитованности населения на официальном сайте Анжеро-Судженского городского округа создан раздел «Повышение уровня финансовой грамотности населения». В данном разделе размещается информация, в которой указывается порядок мер, направленных на воссоздание у населения должного поведения для принятия денежных вопросов, которые касаются поднятия услуг и личных средств людей (информация о рынке ценных бумаг, банковском секторе, страхование, негосударственное пенсионное обеспечение, измение в налоговом законодательстве и другое). Информация постоянно обновляется с учетом развития финансового рынка и нормативно-правовой базы.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здании установлен информационный уголок, для населения города, где собрана полезная информация как принять взвешенные и правильные решения в области финансов.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Информационно-разъяснительная работа по повышению финансовой грамотности проводится для всех категорий населения путем публикации информации в местных печатных СМИ, а также распространения материалов в местах массового скопления людей.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Оценка состояния конкурентной среды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Оценка состояния конкурентной среды проводится посредством оценки достижения плановых значений целевых показателей, установленных планом мероприятий по содействию развитию конкуренции в Анжеро - Судженском городском округе на 2023 год.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целевых показателей по содействию развитию конкуренции на территории Анжеро – Судженского городского округа за 2023 год представлен в приложении к докладу.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para12"/>
        <w:spacing w:before="0" w:after="0"/>
      </w:pPr>
      <w:r>
        <w:t>2. Системные мероприятия по развитию конкурентной среды в Анжеро-Судженском городском округе</w:t>
      </w:r>
    </w:p>
    <w:p>
      <w:pPr>
        <w:pStyle w:val="para12"/>
        <w:spacing w:before="0" w:after="0"/>
      </w:pPr>
      <w:r>
        <w:t>2.1. Совершенствование процессов управления объектами муниципальной собственности в Анжеро-Судженском городском округе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реализации муниципального имущества Анжеро-Судженского городского округа регулярно размещается на официальном сайте Анжеро-Судженского городского округа в информационно-телекоммуникационной сети "Интернет" и на официальном сайте проведения торгов (</w:t>
      </w:r>
      <w:hyperlink r:id="rId8" w:history="1">
        <w:r>
          <w:rPr>
            <w:rStyle w:val="char6"/>
            <w:rFonts w:ascii="Times New Roman" w:hAnsi="Times New Roman" w:cs="Times New Roman"/>
            <w:color w:val="000000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spacing w:after="0" w:line="240" w:lineRule="auto"/>
        <w:jc w:val="both"/>
        <w:widowControl w:val="0"/>
        <w:rPr>
          <w:rFonts w:ascii="Times New Roman" w:hAnsi="Times New Roman" w:eastAsia="Basic Roman" w:cs="Basic Roman"/>
          <w:kern w:val="1"/>
          <w:sz w:val="28"/>
          <w:szCs w:val="20"/>
          <w:lang w:eastAsia="zh-cn"/>
        </w:rPr>
      </w:pPr>
      <w:r>
        <w:rPr>
          <w:rFonts w:ascii="Times New Roman" w:hAnsi="Times New Roman" w:eastAsia="Basic Roman" w:cs="Basic Roman"/>
          <w:kern w:val="1"/>
          <w:sz w:val="28"/>
          <w:szCs w:val="20"/>
          <w:lang w:eastAsia="zh-cn"/>
        </w:rPr>
        <w:t>В соответствии с прогнозным планом приватизации муниципального имущества Анжеро-Судженского городского округа на 2023 год, утвержденным решением Совета народных депутатов Анжеро-Судженского городского округа от 30.06.2022 №97 «Об утверждении прогнозного плана приватизации муниципального имущества Анжеро-Судженского городского округа на 2023 год», к продаже было представлено 6 объектов недвижимого имущества муниципальной собственности.</w:t>
      </w:r>
    </w:p>
    <w:p>
      <w:pPr>
        <w:ind w:firstLine="709"/>
        <w:spacing w:after="0" w:line="240" w:lineRule="auto"/>
        <w:jc w:val="both"/>
        <w:widowControl w:val="0"/>
        <w:rPr>
          <w:rFonts w:ascii="Times New Roman" w:hAnsi="Times New Roman" w:eastAsia="Basic Roman" w:cs="Basic Roman"/>
          <w:kern w:val="1"/>
          <w:sz w:val="28"/>
          <w:szCs w:val="20"/>
          <w:lang w:eastAsia="zh-cn"/>
        </w:rPr>
      </w:pPr>
      <w:r>
        <w:rPr>
          <w:rFonts w:ascii="Times New Roman" w:hAnsi="Times New Roman" w:eastAsia="Basic Roman" w:cs="Basic Roman"/>
          <w:kern w:val="1"/>
          <w:sz w:val="28"/>
          <w:szCs w:val="20"/>
          <w:lang w:eastAsia="zh-cn"/>
        </w:rPr>
        <w:t>Фактически по итогам 2023 года было заключено 2 договора купли-продажи муниципального имущества на сумму 400,000 тыс.руб. с учетом НДС (333,333 тыс.руб. без учета НДС). По одному договору купли-продажи, заключенному в декабре 2022 года, поступили денежные средства в сумме 36,360 тыс.руб. с учетом НДС (26,260 тыс.руб. без учета НДС). В рамках исполнительного производства №58239/23/42001-ИП по делу А27-7298/2022 были взысканы средства по договору 2017 года в сумме 905,39 руб. Итоги приватизации представлены в приложениях №№1,2.</w:t>
      </w:r>
    </w:p>
    <w:p>
      <w:pPr>
        <w:ind w:firstLine="709"/>
        <w:spacing w:after="0" w:line="240" w:lineRule="auto"/>
        <w:jc w:val="both"/>
        <w:widowControl w:val="0"/>
        <w:rPr>
          <w:rFonts w:ascii="Times New Roman" w:hAnsi="Times New Roman" w:eastAsia="Basic Roman" w:cs="Basic Roman"/>
          <w:kern w:val="1"/>
          <w:sz w:val="28"/>
          <w:szCs w:val="20"/>
          <w:lang w:eastAsia="zh-cn"/>
        </w:rPr>
      </w:pPr>
      <w:r>
        <w:rPr>
          <w:rFonts w:ascii="Times New Roman" w:hAnsi="Times New Roman" w:eastAsia="Basic Roman" w:cs="Basic Roman"/>
          <w:kern w:val="1"/>
          <w:sz w:val="28"/>
          <w:szCs w:val="20"/>
          <w:lang w:eastAsia="zh-cn"/>
        </w:rPr>
        <w:t>В бюджет Анжеро-Судженского городского округа от приватизации муниципального имущества за 2023 год поступило 433,099 тыс.руб. с учетом НДС (360,499 тыс.руб. без учета НДС).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</w:p>
    <w:p>
      <w:pPr>
        <w:pStyle w:val="para12"/>
        <w:spacing w:before="0" w:after="0"/>
        <w:rPr>
          <w:color w:val="000000"/>
        </w:rPr>
      </w:pPr>
      <w:r>
        <w:rPr>
          <w:color w:val="000000"/>
        </w:rPr>
        <w:t>2.2. Содействие созданию и развитию институтов поддержки субъектов малого предпринимательства в инновационной деятельности, обеспечивающих благоприятную экономическую среду для среднего и крупного бизнеса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Субъектам малого и инновационного предпринимательства оказываются консультативные услуги по вопросам подготовки бизнес-планов для получения государственной поддержки на начальной стадии развития.</w:t>
      </w:r>
    </w:p>
    <w:p>
      <w:pPr>
        <w:pStyle w:val="para12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para12"/>
        <w:spacing w:before="0" w:after="0"/>
        <w:rPr>
          <w:b w:val="0"/>
          <w:color w:val="000000"/>
        </w:rPr>
      </w:pPr>
      <w:r>
        <w:rPr>
          <w:color w:val="000000"/>
        </w:rPr>
        <w:t>2</w:t>
      </w:r>
      <w:r>
        <w:rPr>
          <w:rStyle w:val="char12"/>
          <w:color w:val="000000"/>
        </w:rPr>
        <w:t>.3. Стимулирование новых предпринимательских инициатив, обеспечивающих возможности для поиска, отбора и обучения потенциальных предпринимателей</w:t>
      </w:r>
      <w:r>
        <w:rPr>
          <w:b w:val="0"/>
          <w:color w:val="000000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Инвестиционные мероприятия организуются и проводятся на регулярной основе.</w:t>
      </w:r>
    </w:p>
    <w:p>
      <w:pPr>
        <w:pStyle w:val="para12"/>
        <w:spacing w:before="0" w:after="0"/>
        <w:rPr>
          <w:color w:val="ff0000"/>
        </w:rPr>
      </w:pPr>
      <w:r>
        <w:rPr>
          <w:color w:val="ff0000"/>
        </w:rPr>
      </w:r>
    </w:p>
    <w:p>
      <w:pPr>
        <w:pStyle w:val="para12"/>
        <w:spacing w:before="0" w:after="0"/>
      </w:pPr>
      <w:r>
        <w:t>2.4. Системные мероприятия по подготовке ежегодного доклада «Состояние и развитие конкурентной среды в Анжеро-Судженском городском округе»</w:t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tabs defTabSz="708">
          <w:tab w:val="left" w:pos="139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информация в области внедрения Стандарта развития конкуренции Анжеро-Судженского городского округа размещена на официальном сайте Муниципального образования – Анжеро-Судженский городской округ в информационно-телекоммуникационной сети «Интернет».</w:t>
      </w:r>
    </w:p>
    <w:p>
      <w:pPr>
        <w:ind w:firstLine="709"/>
        <w:spacing w:after="0" w:line="240" w:lineRule="auto"/>
        <w:contextualSpacing/>
        <w:jc w:val="both"/>
        <w:tabs defTabSz="708">
          <w:tab w:val="left" w:pos="851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срок до 1 февраля года, следующего за отчетным, проводятся системные мероприятия по подготовке ежегодного доклада о состоянии и развитии конкурентной среды на рынках товаров, работ и услуг Анжеро-Судженского городского округа.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о состоянии и развитии конкурентной среды на рынках товаров, работ и услуг Анжеро-Судженского городского округа ежегодно размещается на официальном сайте раздел экономика, вкладка «Внедрение стандарта развития конкуренции».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проведен мониторинг состояния и развития конкурентной среды на территории </w:t>
      </w:r>
      <w:r>
        <w:rPr>
          <w:rFonts w:ascii="Times New Roman" w:hAnsi="Times New Roman"/>
          <w:sz w:val="28"/>
          <w:szCs w:val="28"/>
        </w:rPr>
        <w:t>Анжеро-Судженского городского округа.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с января 2023 года по январь 2024 года путем интернет - опроса предпринимателей и потребителей товаров и услуг.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анкеты для проведения мониторинга были размещены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Анжеро-Судженского городского округа.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мониторинга: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(отсутствие) административных барьеров и оценка состояния конкурентной среды субъектами предпринимательской деятельности;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потребителей качеством товаров, работ и услуг на товарных рынках и состоянием ценовой конкуренции;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предпринимателей и потребителей качеством (уровнем доступности, понятности и удобства получения) официальной информацией о состоянии конкурентной среды;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деятельности субъектов естественных монополий.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целью повышения эффективности развития предпринимательской деятельности в Анжеро-Судженске проведен опрос среди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с января 2024 года по февраль 2024 года путем заполнения анкеты.</w:t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размещена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Анжеро-Судженского городского округа, в разделе Малый бизнес. </w:t>
      </w: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285 субъектов малого и среднего предпринимательства, из них: 69% - </w:t>
      </w:r>
      <w:r>
        <w:rPr>
          <w:rFonts w:ascii="Times New Roman" w:hAnsi="Times New Roman" w:cs="Times New Roman"/>
          <w:sz w:val="28"/>
          <w:szCs w:val="28"/>
        </w:rPr>
        <w:t xml:space="preserve">оптовая и розничная торговля, 22% - сфера бытового обслуживания населения, 9% - производственная сфера. </w:t>
      </w:r>
      <w:r>
        <w:rPr>
          <w:rFonts w:ascii="Times New Roman" w:hAnsi="Times New Roman" w:cs="Times New Roman"/>
          <w:sz w:val="28"/>
          <w:szCs w:val="28"/>
        </w:rPr>
        <w:t>По итогам анкетирования выявили, что в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общие условия ведения бизнеса в Анжеро-Судженске удовлетворительные. Возникающие трудности решаются достаточно быстро и эффективно. Для лучшего взаимодействия с органами власти в городе действует «Совет предпринимателей» при главе Анжеро-Судженского городского округа.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Определили наиболее существенные административные барьеры: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Style w:val="TableGrid"/>
        <w:name w:val="Таблица1"/>
        <w:tabOrder w:val="0"/>
        <w:jc w:val="left"/>
        <w:tblInd w:w="108" w:type="dxa"/>
        <w:tblW w:w="9463" w:type="dxa"/>
        <w:pPr>
          <w:ind w:left="108"/>
        </w:pPr>
        <w:tblLook w:val="04A0" w:firstRow="1" w:lastRow="0" w:firstColumn="1" w:lastColumn="0" w:noHBand="0" w:noVBand="1"/>
      </w:tblPr>
      <w:tblGrid>
        <w:gridCol w:w="6521"/>
        <w:gridCol w:w="2942"/>
      </w:tblGrid>
      <w:tr>
        <w:trPr>
          <w:tblHeader w:val="0"/>
          <w:cantSplit w:val="0"/>
          <w:trHeight w:val="0" w:hRule="auto"/>
        </w:trPr>
        <w:tc>
          <w:tcPr>
            <w:tcW w:w="6521" w:type="dxa"/>
            <w:tmTcPr id="1718079198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2942" w:type="dxa"/>
            <w:tmTcPr id="1718079198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1" w:type="dxa"/>
            <w:tmTcPr id="1718079198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2942" w:type="dxa"/>
            <w:tmTcPr id="1718079198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1" w:type="dxa"/>
            <w:tmTcPr id="1718079198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2942" w:type="dxa"/>
            <w:tmTcPr id="1718079198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1" w:type="dxa"/>
            <w:tmTcPr id="1718079198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2942" w:type="dxa"/>
            <w:tmTcPr id="1718079198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1" w:type="dxa"/>
            <w:tmTcPr id="1718079198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2942" w:type="dxa"/>
            <w:tmTcPr id="1718079198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</w:tr>
    </w:tbl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Мониторинг состояния </w:t>
      </w:r>
      <w:r>
        <w:rPr>
          <w:rFonts w:ascii="Times New Roman" w:hAnsi="Times New Roman" w:cs="Times New Roman"/>
          <w:sz w:val="28"/>
          <w:szCs w:val="28"/>
        </w:rPr>
        <w:t xml:space="preserve">и развития предпринимательской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позволил выявить основные проблемы, с которыми сталкиваются предприниматели, с целью принятия управленческих решений и разработки рекомендаций по развитию конкуренции и формированию благоприятного предпринимательского климата в Анжеро-Судженском городском округе.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pageBreakBefore w:val="0"/>
        <w:keepNext w:val="0"/>
        <w:keepLines w:val="0"/>
        <w:widowControl w:val="0"/>
        <w:tabs defTabSz="708">
          <w:tab w:val="left" w:pos="-1191" w:leader="none"/>
          <w:tab w:val="left" w:pos="-283" w:leader="none"/>
          <w:tab w:val="left" w:pos="1247" w:leader="none"/>
        </w:tabs>
      </w:pPr>
      <w:r>
        <w:br w:type="page"/>
      </w:r>
      <w:r>
        <w:t>Приложение</w:t>
      </w:r>
    </w:p>
    <w:p>
      <w:pPr>
        <w:pStyle w:val="para12"/>
        <w:spacing w:before="0" w:after="0"/>
        <w:widowControl w:val="0"/>
      </w:pPr>
      <w:r>
        <w:t>Отчет о достижении целевых показателей по содействию развитию конкуренции на территории Анжеро–Судженского городского округа за 2023 год</w:t>
      </w:r>
    </w:p>
    <w:tbl>
      <w:tblPr>
        <w:tblStyle w:val="NormalTable"/>
        <w:name w:val="Таблица2"/>
        <w:tabOrder w:val="0"/>
        <w:jc w:val="left"/>
        <w:tblInd w:w="-2" w:type="dxa"/>
        <w:tblW w:w="9641" w:type="dxa"/>
        <w:pPr>
          <w:ind w:left="-2"/>
        </w:pPr>
        <w:tblLook w:val="0000" w:firstRow="0" w:lastRow="0" w:firstColumn="0" w:lastColumn="0" w:noHBand="0" w:noVBand="0"/>
      </w:tblPr>
      <w:tblGrid>
        <w:gridCol w:w="391"/>
        <w:gridCol w:w="1"/>
        <w:gridCol w:w="2573"/>
        <w:gridCol w:w="1230"/>
        <w:gridCol w:w="1"/>
        <w:gridCol w:w="3067"/>
        <w:gridCol w:w="1053"/>
        <w:gridCol w:w="1325"/>
      </w:tblGrid>
      <w:tr>
        <w:trPr>
          <w:tblHeader/>
          <w:cantSplit w:val="0"/>
          <w:trHeight w:val="20" w:hRule="atLeast"/>
        </w:trPr>
        <w:tc>
          <w:tcPr>
            <w:tcW w:w="39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ind w:left="-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7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«дорожной карты»</w:t>
            </w:r>
          </w:p>
        </w:tc>
        <w:tc>
          <w:tcPr>
            <w:tcW w:w="123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30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7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значения показателя</w:t>
            </w:r>
          </w:p>
        </w:tc>
      </w:tr>
      <w:tr>
        <w:trPr>
          <w:tblHeader/>
          <w:cantSplit w:val="0"/>
          <w:trHeight w:val="20" w:hRule="atLeast"/>
        </w:trPr>
        <w:tc>
          <w:tcPr>
            <w:tcW w:w="39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257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23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2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82" w:hRule="atLeast"/>
        </w:trPr>
        <w:tc>
          <w:tcPr>
            <w:tcW w:w="3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pStyle w:val="par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услуг по предоставлению доступа в информационно-телекоммуникационную сеть «Интернет»</w:t>
            </w:r>
          </w:p>
        </w:tc>
        <w:tc>
          <w:tcPr>
            <w:tcW w:w="1231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7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организации частной формы собственности в сфере оказания услуг по предоставлению широкополосного доступа к информационно-телекоммуникационной сети «Интернет», процент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303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287" w:hRule="atLeast"/>
        </w:trPr>
        <w:tc>
          <w:tcPr>
            <w:tcW w:w="3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Ведение и поддержание в актуальном состоянии реестра муниципальных маршрутов регулярных перевозок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31" w:type="dxa"/>
            <w:gridSpan w:val="2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7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организации частной формы собственности в сфере оказания услуг по перевозке пассажиров автомобильным транспортом по межмуниципальным маршрутам регулярных перевозок, процент</w:t>
            </w:r>
          </w:p>
        </w:tc>
        <w:tc>
          <w:tcPr>
            <w:tcW w:w="1053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5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center" w:pos="231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Мониторинг пассажиропотока и потребностей на территории Анжеро-Судженского городского округа в корректировке существующей маршрутной сети и организации новых маршрутов</w:t>
            </w:r>
            <w:r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r>
          </w:p>
        </w:tc>
        <w:tc>
          <w:tcPr>
            <w:tcW w:w="1231" w:type="dxa"/>
            <w:gridSpan w:val="2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7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1062" w:hRule="atLeast"/>
        </w:trPr>
        <w:tc>
          <w:tcPr>
            <w:tcW w:w="3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57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center" w:pos="231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открытых аукционов в электронной форме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соблюдением установленных принципов открытости, прозрачности и создания равных условий для обеспечения конкуренции между участниками закупок </w:t>
            </w:r>
            <w:r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r>
          </w:p>
        </w:tc>
        <w:tc>
          <w:tcPr>
            <w:tcW w:w="123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17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pStyle w:val="para2"/>
              <w:ind w:left="108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3. Рынок услуг детского отдыха и оздоровления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Мониторинг конкурсных отборов на предоставление субсидии из бюджета Кемеровской области – Кузбасса на укрепление материально-технической базы учреждений отдыха детей и их оздоровления на территории Анжеро-Судженского городского округа</w:t>
            </w:r>
          </w:p>
        </w:tc>
        <w:tc>
          <w:tcPr>
            <w:tcW w:w="123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pStyle w:val="para8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организации частной формы собственности в сфере детского отдыха и оздоровления, процент</w:t>
            </w:r>
          </w:p>
        </w:tc>
        <w:tc>
          <w:tcPr>
            <w:tcW w:w="1053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Мониторинг учреждений отдыха и оздоровления детей на территории Анжеро-Судженского городского округа и направление информации для включения в реестр организаций отдыха и оздоровления детей Кемеровской области</w:t>
            </w:r>
          </w:p>
        </w:tc>
        <w:tc>
          <w:tcPr>
            <w:tcW w:w="1230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8" w:type="dxa"/>
            <w:gridSpan w:val="2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Оказание организационно-методической и информационно - консультативной помощи организациям отдыха детей и их оздоровления всех форм собственности, в том числе по вопросам государственной поддержки субъектов малого и среднего бизнеса</w:t>
            </w:r>
          </w:p>
        </w:tc>
        <w:tc>
          <w:tcPr>
            <w:tcW w:w="12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услуг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361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Создание общедоступного навигатора дополнительного образования детей Анжеро-Судженского городского округа</w:t>
            </w:r>
          </w:p>
        </w:tc>
        <w:tc>
          <w:tcPr>
            <w:tcW w:w="123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highlight w:val="yellow"/>
                <w:sz w:val="20"/>
                <w:szCs w:val="20"/>
              </w:rPr>
            </w:r>
          </w:p>
        </w:tc>
        <w:tc>
          <w:tcPr>
            <w:tcW w:w="3068" w:type="dxa"/>
            <w:gridSpan w:val="2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pStyle w:val="para8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организации частной формы собственности в сфере дополнительного образования детей, процент</w:t>
            </w:r>
          </w:p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highlight w:val="yello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highlight w:val="yellow"/>
                <w:sz w:val="20"/>
                <w:szCs w:val="20"/>
              </w:rPr>
            </w:r>
          </w:p>
        </w:tc>
        <w:tc>
          <w:tcPr>
            <w:tcW w:w="1053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57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Внедрение и распространение системы персонифицированного финансирования дополнительного образования детей</w:t>
            </w:r>
          </w:p>
        </w:tc>
        <w:tc>
          <w:tcPr>
            <w:tcW w:w="12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8" w:type="dxa"/>
            <w:gridSpan w:val="2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Оказание информационно-методической и консультативной помощи негосударственным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12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8" w:type="dxa"/>
            <w:gridSpan w:val="2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услуг общего образования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Мониторинг численности частных общеобразовательных организаций, расположенных в Анжеро-Судженском городском округе, и численности детей, посещающих данные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3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pStyle w:val="para8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организации частной формы собственности в сфере общего образования, процент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услуг среднего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Опубликование на официальном сайте Анжеро-Судженского городского округа информации о проведении конкурса по распределению контрольных цифр приема на обучение за счет бюджетных ассигнований областного бюджета между организациями, осуществляющими образовательную деятельность по образовательным программам среднего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3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организации частной формы собственности в сфере среднего профессионального образования, процент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услуг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Предоставление субвенции на финансовое обеспечение получения дошкольного образования в частных дошкольных образовательных организациях, имеющих лицензию на право осуществления образовательной деятельности на территории Анжеро-Судженского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3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организации частной формы собственности в сфере дошкольного образования, процент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медицинских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both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Мониторинг реестра медицинских организаций, находящихся на территории Анжеро-Судженского городского округа, участвующих в реализации территориальной программы обязательного медицинского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3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Информация о медицинских услугах, оказываемых ГАУЗ АСГБ в рамках программы ОМС, размещенная в сети Интернет, процент</w:t>
            </w:r>
          </w:p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264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ритуальных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both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Мониторинг и анализ ситуации в сфере оказания ритуальных услуг на территории Анжеро-Судженского городского округа</w:t>
            </w:r>
          </w:p>
        </w:tc>
        <w:tc>
          <w:tcPr>
            <w:tcW w:w="123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организации частной формы собственности в сфере оказания ритуальных услуг, процент</w:t>
            </w:r>
          </w:p>
          <w:p>
            <w:pPr>
              <w:spacing w:after="0" w:line="240" w:lineRule="auto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3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5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both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сбора и обобщения информации об организациях всех форм собственности, осуществляющих деятельность на рынке ритуальных услуг (за исключением деятельности по содержанию и благоустройству кладбищ) на территории Анжеро-Судженского городского округа</w:t>
            </w:r>
          </w:p>
        </w:tc>
        <w:tc>
          <w:tcPr>
            <w:tcW w:w="1230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теплоснабжения (производство тепловой энергии)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both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center" w:pos="231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Оформление правоустанавливающих документов на объекты теплоснабжения, постановка их на кадастровый учет.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аренды.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обязательств.</w:t>
            </w:r>
          </w:p>
        </w:tc>
        <w:tc>
          <w:tcPr>
            <w:tcW w:w="123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организации частной формы собственности в сфере оказания услуг по теплоснабжению (производство тепловой энергии, процент</w:t>
            </w:r>
          </w:p>
        </w:tc>
        <w:tc>
          <w:tcPr>
            <w:tcW w:w="1053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both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tabs defTabSz="708">
                <w:tab w:val="center" w:pos="231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Актуализация схем теплоснабжения Анжеро-Судженского городского округа</w:t>
            </w:r>
          </w:p>
        </w:tc>
        <w:tc>
          <w:tcPr>
            <w:tcW w:w="1230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поставки сжиженного газа в баллонах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both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Размещение информации на сайте Анжеро-Судженского городского округа о розничных ценах на сжиженный газ в баллонах, реализуемый населению для бытовых нужд.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3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организации частной формы собственности в сфере оказания услуг по поставке сжиженного газа в баллонах, процент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выполнения работ по благоустройству городской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both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рынке.</w:t>
            </w:r>
            <w:r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r>
          </w:p>
        </w:tc>
        <w:tc>
          <w:tcPr>
            <w:tcW w:w="123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организации частной формы собственности в сфере оказания услуг по благоустройству городской среды, процент</w:t>
            </w:r>
          </w:p>
        </w:tc>
        <w:tc>
          <w:tcPr>
            <w:tcW w:w="1053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both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уменьшения. </w:t>
            </w:r>
            <w:r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r>
          </w:p>
        </w:tc>
        <w:tc>
          <w:tcPr>
            <w:tcW w:w="1230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both"/>
              <w:tabs defTabSz="708">
                <w:tab w:val="left" w:pos="139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Информационная поддержка в средствах массовой информации для привлечения к торгам большего числа участников</w:t>
            </w:r>
            <w:r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r>
          </w:p>
        </w:tc>
        <w:tc>
          <w:tcPr>
            <w:tcW w:w="1230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  <w:r>
              <w:rPr>
                <w:rFonts w:ascii="Times New Roman" w:hAnsi="Times New Roman" w:eastAsia="Times New Roman" w:cs="Times New Roman"/>
                <w:highlight w:val="yellow"/>
                <w:sz w:val="20"/>
                <w:szCs w:val="20"/>
                <w:lang w:eastAsia="ru-ru"/>
              </w:rPr>
            </w:r>
          </w:p>
        </w:tc>
        <w:tc>
          <w:tcPr>
            <w:tcW w:w="123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организации частной формы собственности в сфере оказания услуг по содержанию и текущему ремонту общего имущества собственников помещений в многоквартирном доме, процент</w:t>
            </w:r>
          </w:p>
        </w:tc>
        <w:tc>
          <w:tcPr>
            <w:tcW w:w="1053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325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Введение рейтингования деятельности организаций, оказывающих услуги по управлению многоквартирным домом на территории Анжеро-Судженского городского округа</w:t>
            </w:r>
          </w:p>
        </w:tc>
        <w:tc>
          <w:tcPr>
            <w:tcW w:w="1230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8" w:type="dxa"/>
            <w:gridSpan w:val="2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053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1325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кадастровых и землеустроительных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и проведение публичных торгов или иных конкурентных процедур отбора исполнителей кадастровых и землеустроительных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3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организации частной формы собственности в сфере оказания услуг по кадастровым и землеустроительных работам, процент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легкой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pStyle w:val="para8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участии представителей предприятий сферы легкой промышленности в выставках и ярмарках регионального значения. </w:t>
            </w:r>
          </w:p>
        </w:tc>
        <w:tc>
          <w:tcPr>
            <w:tcW w:w="123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pStyle w:val="para8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участия местных товаропроизводителей в областных акциях «Первое сентября – каждому школьнику» и школьных базарах, процент 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pStyle w:val="para8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содействия субъектам деятельности в сфере легкой промышленности в развитии кооперационных связей, увеличении объемов сбыта продукции и повышении технологического уровня</w:t>
            </w:r>
          </w:p>
        </w:tc>
        <w:tc>
          <w:tcPr>
            <w:tcW w:w="1230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/>
        </w:tc>
        <w:tc>
          <w:tcPr>
            <w:tcW w:w="30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на рынке легкой промышленности в общем количестве организаций, осуществляющих деятельность на данном рынке, процент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туристических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рекламно-информационных туров для представителей туристского бизнеса и средств массовой информации</w:t>
            </w:r>
          </w:p>
        </w:tc>
        <w:tc>
          <w:tcPr>
            <w:tcW w:w="123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Проведение событийных и обменных мероприятий в сфере культуры и искусства, кол-во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Сфера наружной рекламы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незаконных рекламных конструкций, выдача предписаний и организация работ по демонтажу на территории Анжеро-Судженского городского округа</w:t>
            </w:r>
          </w:p>
        </w:tc>
        <w:tc>
          <w:tcPr>
            <w:tcW w:w="123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в сфере предоставления услуг наружной рекламы, процент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/>
          <w:cantSplit w:val="0"/>
          <w:trHeight w:val="28" w:hRule="atLeast"/>
        </w:trPr>
        <w:tc>
          <w:tcPr>
            <w:tcW w:w="9640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Рынок социальных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/>
          <w:cantSplit w:val="0"/>
          <w:trHeight w:val="1062" w:hRule="atLeast"/>
        </w:trPr>
        <w:tc>
          <w:tcPr>
            <w:tcW w:w="39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pStyle w:val="para8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предоставлению социальных услуг частных организаций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3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8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105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2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8079198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>
      <w:pPr>
        <w:spacing w:after="0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567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Symbol">
    <w:charset w:val="02"/>
    <w:family w:val="roman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default"/>
  </w:font>
  <w:font w:name="Cambria">
    <w:charset w:val="00"/>
    <w:family w:val="roman"/>
    <w:pitch w:val="default"/>
  </w:font>
  <w:font w:name="Tahoma">
    <w:charset w:val="00"/>
    <w:family w:val="swiss"/>
    <w:pitch w:val="default"/>
  </w:font>
  <w:font w:name="SimSu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820" w:hanging="0"/>
      </w:pPr>
    </w:lvl>
    <w:lvl w:ilvl="1">
      <w:start w:val="1"/>
      <w:numFmt w:val="lowerLetter"/>
      <w:suff w:val="tab"/>
      <w:lvlText w:val="%2."/>
      <w:lvlJc w:val="left"/>
      <w:pPr>
        <w:ind w:left="1540" w:hanging="0"/>
      </w:pPr>
    </w:lvl>
    <w:lvl w:ilvl="2">
      <w:start w:val="1"/>
      <w:numFmt w:val="lowerRoman"/>
      <w:suff w:val="tab"/>
      <w:lvlText w:val="%3."/>
      <w:lvlJc w:val="left"/>
      <w:pPr>
        <w:ind w:left="2440" w:hanging="0"/>
      </w:pPr>
    </w:lvl>
    <w:lvl w:ilvl="3">
      <w:start w:val="1"/>
      <w:numFmt w:val="decimal"/>
      <w:suff w:val="tab"/>
      <w:lvlText w:val="%4."/>
      <w:lvlJc w:val="left"/>
      <w:pPr>
        <w:ind w:left="2980" w:hanging="0"/>
      </w:pPr>
    </w:lvl>
    <w:lvl w:ilvl="4">
      <w:start w:val="1"/>
      <w:numFmt w:val="lowerLetter"/>
      <w:suff w:val="tab"/>
      <w:lvlText w:val="%5."/>
      <w:lvlJc w:val="left"/>
      <w:pPr>
        <w:ind w:left="3700" w:hanging="0"/>
      </w:pPr>
    </w:lvl>
    <w:lvl w:ilvl="5">
      <w:start w:val="1"/>
      <w:numFmt w:val="lowerRoman"/>
      <w:suff w:val="tab"/>
      <w:lvlText w:val="%6."/>
      <w:lvlJc w:val="left"/>
      <w:pPr>
        <w:ind w:left="4600" w:hanging="0"/>
      </w:pPr>
    </w:lvl>
    <w:lvl w:ilvl="6">
      <w:start w:val="1"/>
      <w:numFmt w:val="decimal"/>
      <w:suff w:val="tab"/>
      <w:lvlText w:val="%7."/>
      <w:lvlJc w:val="left"/>
      <w:pPr>
        <w:ind w:left="5140" w:hanging="0"/>
      </w:pPr>
    </w:lvl>
    <w:lvl w:ilvl="7">
      <w:start w:val="1"/>
      <w:numFmt w:val="lowerLetter"/>
      <w:suff w:val="tab"/>
      <w:lvlText w:val="%8."/>
      <w:lvlJc w:val="left"/>
      <w:pPr>
        <w:ind w:left="5860" w:hanging="0"/>
      </w:pPr>
    </w:lvl>
    <w:lvl w:ilvl="8">
      <w:start w:val="1"/>
      <w:numFmt w:val="lowerRoman"/>
      <w:suff w:val="tab"/>
      <w:lvlText w:val="%9."/>
      <w:lvlJc w:val="left"/>
      <w:pPr>
        <w:ind w:left="6760" w:hanging="0"/>
      </w:pPr>
    </w:lvl>
  </w:abstractNum>
  <w:abstractNum w:abstractNumId="2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418" w:hanging="0"/>
      </w:pPr>
    </w:lvl>
    <w:lvl w:ilvl="3">
      <w:start w:val="1"/>
      <w:numFmt w:val="decimal"/>
      <w:suff w:val="tab"/>
      <w:lvlText w:val="%1.%2.%3.%4."/>
      <w:lvlJc w:val="left"/>
      <w:pPr>
        <w:ind w:left="2127" w:hanging="0"/>
      </w:p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</w:lvl>
  </w:abstractNum>
  <w:abstractNum w:abstractNumId="4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1069" w:hanging="0"/>
      </w:pPr>
    </w:lvl>
    <w:lvl w:ilvl="1">
      <w:start w:val="1"/>
      <w:numFmt w:val="lowerLetter"/>
      <w:suff w:val="tab"/>
      <w:lvlText w:val="%2."/>
      <w:lvlJc w:val="left"/>
      <w:pPr>
        <w:ind w:left="1789" w:hanging="0"/>
      </w:pPr>
    </w:lvl>
    <w:lvl w:ilvl="2">
      <w:start w:val="1"/>
      <w:numFmt w:val="lowerRoman"/>
      <w:suff w:val="tab"/>
      <w:lvlText w:val="%3."/>
      <w:lvlJc w:val="left"/>
      <w:pPr>
        <w:ind w:left="2689" w:hanging="0"/>
      </w:pPr>
    </w:lvl>
    <w:lvl w:ilvl="3">
      <w:start w:val="1"/>
      <w:numFmt w:val="decimal"/>
      <w:suff w:val="tab"/>
      <w:lvlText w:val="%4."/>
      <w:lvlJc w:val="left"/>
      <w:pPr>
        <w:ind w:left="3229" w:hanging="0"/>
      </w:pPr>
    </w:lvl>
    <w:lvl w:ilvl="4">
      <w:start w:val="1"/>
      <w:numFmt w:val="lowerLetter"/>
      <w:suff w:val="tab"/>
      <w:lvlText w:val="%5."/>
      <w:lvlJc w:val="left"/>
      <w:pPr>
        <w:ind w:left="3949" w:hanging="0"/>
      </w:pPr>
    </w:lvl>
    <w:lvl w:ilvl="5">
      <w:start w:val="1"/>
      <w:numFmt w:val="lowerRoman"/>
      <w:suff w:val="tab"/>
      <w:lvlText w:val="%6."/>
      <w:lvlJc w:val="left"/>
      <w:pPr>
        <w:ind w:left="4849" w:hanging="0"/>
      </w:pPr>
    </w:lvl>
    <w:lvl w:ilvl="6">
      <w:start w:val="1"/>
      <w:numFmt w:val="decimal"/>
      <w:suff w:val="tab"/>
      <w:lvlText w:val="%7."/>
      <w:lvlJc w:val="left"/>
      <w:pPr>
        <w:ind w:left="5389" w:hanging="0"/>
      </w:pPr>
    </w:lvl>
    <w:lvl w:ilvl="7">
      <w:start w:val="1"/>
      <w:numFmt w:val="lowerLetter"/>
      <w:suff w:val="tab"/>
      <w:lvlText w:val="%8."/>
      <w:lvlJc w:val="left"/>
      <w:pPr>
        <w:ind w:left="6109" w:hanging="0"/>
      </w:pPr>
    </w:lvl>
    <w:lvl w:ilvl="8">
      <w:start w:val="1"/>
      <w:numFmt w:val="lowerRoman"/>
      <w:suff w:val="tab"/>
      <w:lvlText w:val="%9."/>
      <w:lvlJc w:val="left"/>
      <w:pPr>
        <w:ind w:left="7009" w:hanging="0"/>
      </w:pPr>
    </w:lvl>
  </w:abstractNum>
  <w:abstractNum w:abstractNumId="5">
    <w:multiLevelType w:val="hybridMultilevel"/>
    <w:name w:val="Нумерованный список 9"/>
    <w:lvl w:ilvl="0">
      <w:start w:val="3"/>
      <w:numFmt w:val="decimal"/>
      <w:suff w:val="tab"/>
      <w:lvlText w:val="%1."/>
      <w:lvlJc w:val="left"/>
      <w:pPr>
        <w:ind w:left="720" w:hanging="0"/>
      </w:pPr>
      <w:rPr>
        <w:rFonts w:eastAsia="Times New Roman"/>
        <w:b w:val="0"/>
        <w:color w:val="auto"/>
        <w:sz w:val="20"/>
      </w:r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lef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lef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left"/>
      <w:pPr>
        <w:ind w:left="6660" w:hanging="0"/>
      </w:pPr>
    </w:lvl>
  </w:abstractNum>
  <w:abstractNum w:abstractNumId="6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cs="Calibri"/>
        <w:sz w:val="22"/>
      </w:rPr>
    </w:lvl>
    <w:lvl w:ilvl="1">
      <w:start w:val="4"/>
      <w:numFmt w:val="decimal"/>
      <w:suff w:val="tab"/>
      <w:lvlText w:val="%1.%2."/>
      <w:lvlJc w:val="left"/>
      <w:pPr>
        <w:ind w:left="1429" w:hanging="0"/>
      </w:pPr>
      <w:rPr>
        <w:rFonts w:cs="Calibri"/>
        <w:sz w:val="22"/>
      </w:rPr>
    </w:lvl>
    <w:lvl w:ilvl="2">
      <w:start w:val="1"/>
      <w:numFmt w:val="decimal"/>
      <w:suff w:val="tab"/>
      <w:lvlText w:val="%1.%2.%3."/>
      <w:lvlJc w:val="left"/>
      <w:pPr>
        <w:ind w:left="2858" w:hanging="0"/>
      </w:pPr>
      <w:rPr>
        <w:rFonts w:cs="Calibri"/>
        <w:sz w:val="22"/>
      </w:rPr>
    </w:lvl>
    <w:lvl w:ilvl="3">
      <w:start w:val="1"/>
      <w:numFmt w:val="decimal"/>
      <w:suff w:val="tab"/>
      <w:lvlText w:val="%1.%2.%3.%4."/>
      <w:lvlJc w:val="left"/>
      <w:pPr>
        <w:ind w:left="4287" w:hanging="0"/>
      </w:pPr>
      <w:rPr>
        <w:rFonts w:cs="Calibri"/>
        <w:sz w:val="22"/>
      </w:rPr>
    </w:lvl>
    <w:lvl w:ilvl="4">
      <w:start w:val="1"/>
      <w:numFmt w:val="decimal"/>
      <w:suff w:val="tab"/>
      <w:lvlText w:val="%1.%2.%3.%4.%5."/>
      <w:lvlJc w:val="left"/>
      <w:pPr>
        <w:ind w:left="5716" w:hanging="0"/>
      </w:pPr>
      <w:rPr>
        <w:rFonts w:cs="Calibri"/>
        <w:sz w:val="22"/>
      </w:rPr>
    </w:lvl>
    <w:lvl w:ilvl="5">
      <w:start w:val="1"/>
      <w:numFmt w:val="decimal"/>
      <w:suff w:val="tab"/>
      <w:lvlText w:val="%1.%2.%3.%4.%5.%6."/>
      <w:lvlJc w:val="left"/>
      <w:pPr>
        <w:ind w:left="7145" w:hanging="0"/>
      </w:pPr>
      <w:rPr>
        <w:rFonts w:cs="Calibri"/>
        <w:sz w:val="22"/>
      </w:rPr>
    </w:lvl>
    <w:lvl w:ilvl="6">
      <w:start w:val="1"/>
      <w:numFmt w:val="decimal"/>
      <w:suff w:val="tab"/>
      <w:lvlText w:val="%1.%2.%3.%4.%5.%6.%7."/>
      <w:lvlJc w:val="left"/>
      <w:pPr>
        <w:ind w:left="8574" w:hanging="0"/>
      </w:pPr>
      <w:rPr>
        <w:rFonts w:cs="Calibri"/>
        <w:sz w:val="22"/>
      </w:rPr>
    </w:lvl>
    <w:lvl w:ilvl="7">
      <w:start w:val="1"/>
      <w:numFmt w:val="decimal"/>
      <w:suff w:val="tab"/>
      <w:lvlText w:val="%1.%2.%3.%4.%5.%6.%7.%8."/>
      <w:lvlJc w:val="left"/>
      <w:pPr>
        <w:ind w:left="10003" w:hanging="0"/>
      </w:pPr>
      <w:rPr>
        <w:rFonts w:cs="Calibri"/>
        <w:sz w:val="22"/>
      </w:rPr>
    </w:lvl>
    <w:lvl w:ilvl="8">
      <w:start w:val="1"/>
      <w:numFmt w:val="decimal"/>
      <w:suff w:val="tab"/>
      <w:lvlText w:val="%1.%2.%3.%4.%5.%6.%7.%8.%9."/>
      <w:lvlJc w:val="left"/>
      <w:pPr>
        <w:ind w:left="11432" w:hanging="0"/>
      </w:pPr>
      <w:rPr>
        <w:rFonts w:cs="Calibri"/>
        <w:sz w:val="22"/>
      </w:rPr>
    </w:lvl>
  </w:abstractNum>
  <w:abstractNum w:abstractNumId="7">
    <w:multiLevelType w:val="hybridMultilevel"/>
    <w:name w:val="Нумерованный список 10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8">
    <w:multiLevelType w:val="hybridMultilevel"/>
    <w:name w:val="Нумерованный список 5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9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1429" w:hanging="0"/>
      </w:pPr>
    </w:lvl>
    <w:lvl w:ilvl="1">
      <w:start w:val="1"/>
      <w:numFmt w:val="lowerLetter"/>
      <w:suff w:val="tab"/>
      <w:lvlText w:val="%2."/>
      <w:lvlJc w:val="left"/>
      <w:pPr>
        <w:ind w:left="2149" w:hanging="0"/>
      </w:pPr>
    </w:lvl>
    <w:lvl w:ilvl="2">
      <w:start w:val="1"/>
      <w:numFmt w:val="lowerRoman"/>
      <w:suff w:val="tab"/>
      <w:lvlText w:val="%3."/>
      <w:lvlJc w:val="left"/>
      <w:pPr>
        <w:ind w:left="3049" w:hanging="0"/>
      </w:pPr>
    </w:lvl>
    <w:lvl w:ilvl="3">
      <w:start w:val="1"/>
      <w:numFmt w:val="decimal"/>
      <w:suff w:val="tab"/>
      <w:lvlText w:val="%4."/>
      <w:lvlJc w:val="left"/>
      <w:pPr>
        <w:ind w:left="3589" w:hanging="0"/>
      </w:pPr>
    </w:lvl>
    <w:lvl w:ilvl="4">
      <w:start w:val="1"/>
      <w:numFmt w:val="lowerLetter"/>
      <w:suff w:val="tab"/>
      <w:lvlText w:val="%5."/>
      <w:lvlJc w:val="left"/>
      <w:pPr>
        <w:ind w:left="4309" w:hanging="0"/>
      </w:pPr>
    </w:lvl>
    <w:lvl w:ilvl="5">
      <w:start w:val="1"/>
      <w:numFmt w:val="lowerRoman"/>
      <w:suff w:val="tab"/>
      <w:lvlText w:val="%6."/>
      <w:lvlJc w:val="left"/>
      <w:pPr>
        <w:ind w:left="5209" w:hanging="0"/>
      </w:pPr>
    </w:lvl>
    <w:lvl w:ilvl="6">
      <w:start w:val="1"/>
      <w:numFmt w:val="decimal"/>
      <w:suff w:val="tab"/>
      <w:lvlText w:val="%7."/>
      <w:lvlJc w:val="left"/>
      <w:pPr>
        <w:ind w:left="5749" w:hanging="0"/>
      </w:pPr>
    </w:lvl>
    <w:lvl w:ilvl="7">
      <w:start w:val="1"/>
      <w:numFmt w:val="lowerLetter"/>
      <w:suff w:val="tab"/>
      <w:lvlText w:val="%8."/>
      <w:lvlJc w:val="left"/>
      <w:pPr>
        <w:ind w:left="6469" w:hanging="0"/>
      </w:pPr>
    </w:lvl>
    <w:lvl w:ilvl="8">
      <w:start w:val="1"/>
      <w:numFmt w:val="lowerRoman"/>
      <w:suff w:val="tab"/>
      <w:lvlText w:val="%9."/>
      <w:lvlJc w:val="left"/>
      <w:pPr>
        <w:ind w:left="7369" w:hanging="0"/>
      </w:pPr>
    </w:lvl>
  </w:abstractNum>
  <w:abstractNum w:abstractNumId="10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1429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7"/>
    <w:tmLastPosSelect w:val="0"/>
    <w:tmLastPosFrameIdx w:val="0"/>
    <w:tmLastPosCaret>
      <w:tmLastPosPgfIdx w:val="162"/>
      <w:tmLastPosIdx w:val="10"/>
    </w:tmLastPosCaret>
    <w:tmLastPosAnchor>
      <w:tmLastPosPgfIdx w:val="0"/>
      <w:tmLastPosIdx w:val="0"/>
    </w:tmLastPosAnchor>
    <w:tmLastPosTblRect w:left="0" w:top="0" w:right="0" w:bottom="0"/>
  </w:tmLastPos>
  <w:tmAppRevision w:date="1718079198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contextualSpacing/>
      <w:jc w:val="center"/>
      <w:pageBreakBefore/>
      <w:keepNext/>
      <w:outlineLvl w:val="0"/>
      <w:keepLines/>
    </w:pPr>
    <w:rPr>
      <w:rFonts w:ascii="Times New Roman" w:hAnsi="Times New Roman" w:eastAsia="Cambria" w:cs="Cambria"/>
      <w:b/>
      <w:bCs/>
      <w:sz w:val="28"/>
      <w:szCs w:val="28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5" w:customStyle="1">
    <w:name w:val="Default"/>
    <w:qFormat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ru-ru" w:eastAsia="en-us" w:bidi="ar-sa"/>
    </w:rPr>
  </w:style>
  <w:style w:type="paragraph" w:styleId="para6" w:customStyle="1">
    <w:name w:val="Текст примечания1"/>
    <w:qFormat/>
    <w:basedOn w:val="para0"/>
    <w:pPr>
      <w:spacing w:line="240" w:lineRule="auto"/>
    </w:pPr>
    <w:rPr>
      <w:sz w:val="20"/>
      <w:szCs w:val="20"/>
    </w:rPr>
  </w:style>
  <w:style w:type="paragraph" w:styleId="para7" w:customStyle="1">
    <w:name w:val="Тема примечания1"/>
    <w:qFormat/>
    <w:basedOn w:val="para6"/>
    <w:next w:val="para6"/>
    <w:rPr>
      <w:b/>
      <w:bCs/>
    </w:rPr>
  </w:style>
  <w:style w:type="paragraph" w:styleId="para8" w:customStyle="1">
    <w:name w:val="ConsPlusNormal"/>
    <w:qFormat/>
    <w:pPr>
      <w:spacing w:after="0" w:line="240" w:lineRule="auto"/>
      <w:widowControl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para9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0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1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para12">
    <w:name w:val="Title"/>
    <w:qFormat/>
    <w:basedOn w:val="para0"/>
    <w:next w:val="para0"/>
    <w:pPr>
      <w:spacing w:before="360" w:after="300" w:line="240" w:lineRule="auto"/>
      <w:jc w:val="center"/>
    </w:pPr>
    <w:rPr>
      <w:rFonts w:ascii="Times New Roman" w:hAnsi="Times New Roman" w:eastAsia="Cambria" w:cs="Cambria"/>
      <w:b/>
      <w:spacing w:val="5" w:percent="104"/>
      <w:kern w:val="1"/>
      <w:sz w:val="28"/>
      <w:szCs w:val="52"/>
    </w:rPr>
  </w:style>
  <w:style w:type="paragraph" w:styleId="para13">
    <w:name w:val="Subtitle"/>
    <w:qFormat/>
    <w:basedOn w:val="para0"/>
    <w:next w:val="para0"/>
    <w:pPr>
      <w:spacing w:before="360" w:after="300" w:line="240" w:lineRule="auto"/>
      <w:jc w:val="center"/>
    </w:pPr>
    <w:rPr>
      <w:rFonts w:ascii="Times New Roman" w:hAnsi="Times New Roman" w:eastAsia="Cambria" w:cs="Cambria"/>
      <w:b/>
      <w:iCs/>
      <w:color w:val="000000"/>
      <w:spacing w:val="15" w:percent="111"/>
      <w:sz w:val="28"/>
      <w:szCs w:val="24"/>
    </w:rPr>
  </w:style>
  <w:style w:type="paragraph" w:styleId="para14">
    <w:name w:val="Block Text"/>
    <w:qFormat/>
    <w:basedOn w:val="para0"/>
    <w:pPr>
      <w:ind w:left="280" w:right="200"/>
      <w:spacing w:after="0" w:line="240" w:lineRule="auto"/>
      <w:jc w:val="center"/>
      <w:widowControl w:val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" w:customStyle="1">
    <w:name w:val="extended-text__short"/>
    <w:basedOn w:val="char0"/>
  </w:style>
  <w:style w:type="character" w:styleId="char3" w:customStyle="1">
    <w:name w:val="Знак примечания1"/>
    <w:basedOn w:val="char0"/>
    <w:rPr>
      <w:sz w:val="16"/>
      <w:szCs w:val="16"/>
    </w:rPr>
  </w:style>
  <w:style w:type="character" w:styleId="char4" w:customStyle="1">
    <w:name w:val="Текст примечания Знак"/>
    <w:basedOn w:val="char0"/>
    <w:rPr>
      <w:sz w:val="20"/>
      <w:szCs w:val="20"/>
    </w:rPr>
  </w:style>
  <w:style w:type="character" w:styleId="char5" w:customStyle="1">
    <w:name w:val="Тема примечания Знак"/>
    <w:basedOn w:val="char4"/>
    <w:rPr>
      <w:b/>
      <w:bCs/>
      <w:sz w:val="20"/>
      <w:szCs w:val="20"/>
    </w:rPr>
  </w:style>
  <w:style w:type="character" w:styleId="char6">
    <w:name w:val="Hyperlink"/>
    <w:basedOn w:val="char0"/>
    <w:rPr>
      <w:color w:val="0000ff"/>
      <w:u w:color="auto" w:val="single"/>
    </w:rPr>
  </w:style>
  <w:style w:type="character" w:styleId="char7" w:customStyle="1">
    <w:name w:val="extended-text__full"/>
    <w:basedOn w:val="char0"/>
  </w:style>
  <w:style w:type="character" w:styleId="char8" w:customStyle="1">
    <w:name w:val="Верхний колонтитул Знак"/>
    <w:basedOn w:val="char0"/>
  </w:style>
  <w:style w:type="character" w:styleId="char9" w:customStyle="1">
    <w:name w:val="Нижний колонтитул Знак"/>
    <w:basedOn w:val="char0"/>
  </w:style>
  <w:style w:type="character" w:styleId="char10" w:customStyle="1">
    <w:name w:val="extendedtext-short"/>
    <w:basedOn w:val="char0"/>
  </w:style>
  <w:style w:type="character" w:styleId="char11" w:customStyle="1">
    <w:name w:val="Заголовок 1 Знак"/>
    <w:basedOn w:val="char0"/>
    <w:rPr>
      <w:rFonts w:ascii="Times New Roman" w:hAnsi="Times New Roman" w:eastAsia="Cambria" w:cs="Cambria"/>
      <w:b/>
      <w:bCs/>
      <w:sz w:val="28"/>
      <w:szCs w:val="28"/>
    </w:rPr>
  </w:style>
  <w:style w:type="character" w:styleId="char12" w:customStyle="1">
    <w:name w:val="Название Знак"/>
    <w:basedOn w:val="char0"/>
    <w:rPr>
      <w:rFonts w:ascii="Times New Roman" w:hAnsi="Times New Roman" w:eastAsia="Cambria" w:cs="Cambria"/>
      <w:b/>
      <w:spacing w:val="5" w:percent="104"/>
      <w:kern w:val="1"/>
      <w:sz w:val="28"/>
      <w:szCs w:val="52"/>
    </w:rPr>
  </w:style>
  <w:style w:type="character" w:styleId="char13" w:customStyle="1">
    <w:name w:val="Подзаголовок Знак"/>
    <w:basedOn w:val="char0"/>
    <w:rPr>
      <w:rFonts w:ascii="Times New Roman" w:hAnsi="Times New Roman" w:eastAsia="Cambria" w:cs="Cambria"/>
      <w:b/>
      <w:iCs/>
      <w:color w:val="000000"/>
      <w:spacing w:val="15" w:percent="111"/>
      <w:sz w:val="28"/>
      <w:szCs w:val="24"/>
    </w:rPr>
  </w:style>
  <w:style w:type="character" w:styleId="char14">
    <w:name w:val="Subtle Emphasis"/>
    <w:basedOn w:val="char0"/>
    <w:rPr>
      <w:i/>
      <w:iCs/>
      <w:color w:val="80808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contextualSpacing/>
      <w:jc w:val="center"/>
      <w:pageBreakBefore/>
      <w:keepNext/>
      <w:outlineLvl w:val="0"/>
      <w:keepLines/>
    </w:pPr>
    <w:rPr>
      <w:rFonts w:ascii="Times New Roman" w:hAnsi="Times New Roman" w:eastAsia="Cambria" w:cs="Cambria"/>
      <w:b/>
      <w:bCs/>
      <w:sz w:val="28"/>
      <w:szCs w:val="28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5" w:customStyle="1">
    <w:name w:val="Default"/>
    <w:qFormat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ru-ru" w:eastAsia="en-us" w:bidi="ar-sa"/>
    </w:rPr>
  </w:style>
  <w:style w:type="paragraph" w:styleId="para6" w:customStyle="1">
    <w:name w:val="Текст примечания1"/>
    <w:qFormat/>
    <w:basedOn w:val="para0"/>
    <w:pPr>
      <w:spacing w:line="240" w:lineRule="auto"/>
    </w:pPr>
    <w:rPr>
      <w:sz w:val="20"/>
      <w:szCs w:val="20"/>
    </w:rPr>
  </w:style>
  <w:style w:type="paragraph" w:styleId="para7" w:customStyle="1">
    <w:name w:val="Тема примечания1"/>
    <w:qFormat/>
    <w:basedOn w:val="para6"/>
    <w:next w:val="para6"/>
    <w:rPr>
      <w:b/>
      <w:bCs/>
    </w:rPr>
  </w:style>
  <w:style w:type="paragraph" w:styleId="para8" w:customStyle="1">
    <w:name w:val="ConsPlusNormal"/>
    <w:qFormat/>
    <w:pPr>
      <w:spacing w:after="0" w:line="240" w:lineRule="auto"/>
      <w:widowControl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para9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0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1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para12">
    <w:name w:val="Title"/>
    <w:qFormat/>
    <w:basedOn w:val="para0"/>
    <w:next w:val="para0"/>
    <w:pPr>
      <w:spacing w:before="360" w:after="300" w:line="240" w:lineRule="auto"/>
      <w:jc w:val="center"/>
    </w:pPr>
    <w:rPr>
      <w:rFonts w:ascii="Times New Roman" w:hAnsi="Times New Roman" w:eastAsia="Cambria" w:cs="Cambria"/>
      <w:b/>
      <w:spacing w:val="5" w:percent="104"/>
      <w:kern w:val="1"/>
      <w:sz w:val="28"/>
      <w:szCs w:val="52"/>
    </w:rPr>
  </w:style>
  <w:style w:type="paragraph" w:styleId="para13">
    <w:name w:val="Subtitle"/>
    <w:qFormat/>
    <w:basedOn w:val="para0"/>
    <w:next w:val="para0"/>
    <w:pPr>
      <w:spacing w:before="360" w:after="300" w:line="240" w:lineRule="auto"/>
      <w:jc w:val="center"/>
    </w:pPr>
    <w:rPr>
      <w:rFonts w:ascii="Times New Roman" w:hAnsi="Times New Roman" w:eastAsia="Cambria" w:cs="Cambria"/>
      <w:b/>
      <w:iCs/>
      <w:color w:val="000000"/>
      <w:spacing w:val="15" w:percent="111"/>
      <w:sz w:val="28"/>
      <w:szCs w:val="24"/>
    </w:rPr>
  </w:style>
  <w:style w:type="paragraph" w:styleId="para14">
    <w:name w:val="Block Text"/>
    <w:qFormat/>
    <w:basedOn w:val="para0"/>
    <w:pPr>
      <w:ind w:left="280" w:right="200"/>
      <w:spacing w:after="0" w:line="240" w:lineRule="auto"/>
      <w:jc w:val="center"/>
      <w:widowControl w:val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" w:customStyle="1">
    <w:name w:val="extended-text__short"/>
    <w:basedOn w:val="char0"/>
  </w:style>
  <w:style w:type="character" w:styleId="char3" w:customStyle="1">
    <w:name w:val="Знак примечания1"/>
    <w:basedOn w:val="char0"/>
    <w:rPr>
      <w:sz w:val="16"/>
      <w:szCs w:val="16"/>
    </w:rPr>
  </w:style>
  <w:style w:type="character" w:styleId="char4" w:customStyle="1">
    <w:name w:val="Текст примечания Знак"/>
    <w:basedOn w:val="char0"/>
    <w:rPr>
      <w:sz w:val="20"/>
      <w:szCs w:val="20"/>
    </w:rPr>
  </w:style>
  <w:style w:type="character" w:styleId="char5" w:customStyle="1">
    <w:name w:val="Тема примечания Знак"/>
    <w:basedOn w:val="char4"/>
    <w:rPr>
      <w:b/>
      <w:bCs/>
      <w:sz w:val="20"/>
      <w:szCs w:val="20"/>
    </w:rPr>
  </w:style>
  <w:style w:type="character" w:styleId="char6">
    <w:name w:val="Hyperlink"/>
    <w:basedOn w:val="char0"/>
    <w:rPr>
      <w:color w:val="0000ff"/>
      <w:u w:color="auto" w:val="single"/>
    </w:rPr>
  </w:style>
  <w:style w:type="character" w:styleId="char7" w:customStyle="1">
    <w:name w:val="extended-text__full"/>
    <w:basedOn w:val="char0"/>
  </w:style>
  <w:style w:type="character" w:styleId="char8" w:customStyle="1">
    <w:name w:val="Верхний колонтитул Знак"/>
    <w:basedOn w:val="char0"/>
  </w:style>
  <w:style w:type="character" w:styleId="char9" w:customStyle="1">
    <w:name w:val="Нижний колонтитул Знак"/>
    <w:basedOn w:val="char0"/>
  </w:style>
  <w:style w:type="character" w:styleId="char10" w:customStyle="1">
    <w:name w:val="extendedtext-short"/>
    <w:basedOn w:val="char0"/>
  </w:style>
  <w:style w:type="character" w:styleId="char11" w:customStyle="1">
    <w:name w:val="Заголовок 1 Знак"/>
    <w:basedOn w:val="char0"/>
    <w:rPr>
      <w:rFonts w:ascii="Times New Roman" w:hAnsi="Times New Roman" w:eastAsia="Cambria" w:cs="Cambria"/>
      <w:b/>
      <w:bCs/>
      <w:sz w:val="28"/>
      <w:szCs w:val="28"/>
    </w:rPr>
  </w:style>
  <w:style w:type="character" w:styleId="char12" w:customStyle="1">
    <w:name w:val="Название Знак"/>
    <w:basedOn w:val="char0"/>
    <w:rPr>
      <w:rFonts w:ascii="Times New Roman" w:hAnsi="Times New Roman" w:eastAsia="Cambria" w:cs="Cambria"/>
      <w:b/>
      <w:spacing w:val="5" w:percent="104"/>
      <w:kern w:val="1"/>
      <w:sz w:val="28"/>
      <w:szCs w:val="52"/>
    </w:rPr>
  </w:style>
  <w:style w:type="character" w:styleId="char13" w:customStyle="1">
    <w:name w:val="Подзаголовок Знак"/>
    <w:basedOn w:val="char0"/>
    <w:rPr>
      <w:rFonts w:ascii="Times New Roman" w:hAnsi="Times New Roman" w:eastAsia="Cambria" w:cs="Cambria"/>
      <w:b/>
      <w:iCs/>
      <w:color w:val="000000"/>
      <w:spacing w:val="15" w:percent="111"/>
      <w:sz w:val="28"/>
      <w:szCs w:val="24"/>
    </w:rPr>
  </w:style>
  <w:style w:type="character" w:styleId="char14">
    <w:name w:val="Subtle Emphasis"/>
    <w:basedOn w:val="char0"/>
    <w:rPr>
      <w:i/>
      <w:iCs/>
      <w:color w:val="80808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О.В.</dc:creator>
  <cp:keywords/>
  <dc:description/>
  <cp:lastModifiedBy>user</cp:lastModifiedBy>
  <cp:revision>114</cp:revision>
  <cp:lastPrinted>2023-01-31T04:24:00Z</cp:lastPrinted>
  <dcterms:created xsi:type="dcterms:W3CDTF">2020-02-05T02:23:00Z</dcterms:created>
  <dcterms:modified xsi:type="dcterms:W3CDTF">2024-06-11T04:13:18Z</dcterms:modified>
</cp:coreProperties>
</file>